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B827" w14:textId="77777777" w:rsidR="00AA45AF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A45AF">
        <w:rPr>
          <w:rFonts w:ascii="Times New Roman" w:hAnsi="Times New Roman" w:cs="Times New Roman"/>
          <w:b/>
          <w:color w:val="000000"/>
        </w:rPr>
        <w:t>ANEXA</w:t>
      </w:r>
    </w:p>
    <w:p w14:paraId="214E70EC" w14:textId="0E257ABA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AA45AF">
        <w:rPr>
          <w:rFonts w:ascii="Times New Roman" w:hAnsi="Times New Roman" w:cs="Times New Roman"/>
          <w:b/>
          <w:color w:val="000000"/>
        </w:rPr>
        <w:t>Propuneri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perfecționare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>/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act</w:t>
      </w:r>
      <w:bookmarkStart w:id="0" w:name="_GoBack"/>
      <w:bookmarkEnd w:id="0"/>
      <w:r w:rsidRPr="00AA45AF">
        <w:rPr>
          <w:rFonts w:ascii="Times New Roman" w:hAnsi="Times New Roman" w:cs="Times New Roman"/>
          <w:b/>
          <w:color w:val="000000"/>
        </w:rPr>
        <w:t>ualizare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schemelor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finanțare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instituite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prin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OUG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nr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. 130 / 2020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privind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unele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măsuri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acordarea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sprijin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financiar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din fonduri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externe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nerambursabile,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aferente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Programului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operațional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Competitivitate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2014-2020,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în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contextul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crizei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provocate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de COVID-19,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precum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și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alte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măsuri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în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domeniul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fondurilor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europene</w:t>
      </w:r>
      <w:proofErr w:type="spellEnd"/>
    </w:p>
    <w:p w14:paraId="594EC568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DF7FF0C" w14:textId="77777777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A45AF">
        <w:rPr>
          <w:rFonts w:ascii="Times New Roman" w:hAnsi="Times New Roman" w:cs="Times New Roman"/>
          <w:b/>
          <w:color w:val="000000"/>
        </w:rPr>
        <w:t xml:space="preserve">1.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Justificare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cu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privire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la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eliminarea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criteriului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RIR din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grila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evaluare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proiectele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investiții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articolul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22 din OUG nr. 130/2020).</w:t>
      </w:r>
    </w:p>
    <w:p w14:paraId="6E004826" w14:textId="77777777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A45AF">
        <w:rPr>
          <w:rFonts w:ascii="Times New Roman" w:hAnsi="Times New Roman" w:cs="Times New Roman"/>
          <w:bCs/>
          <w:color w:val="000000"/>
        </w:rPr>
        <w:t>Indicatorul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RIR (rata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interna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rentabilitate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)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un instrument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folosit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determinarea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viabilitatii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unui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investitii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. Ca si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definitie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reprezinta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rata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actualizare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la care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actualizata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fluxurilor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numerar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(VAN)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egala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cu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investitia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initiala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indicatorului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VAN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data de formula:</w:t>
      </w:r>
    </w:p>
    <w:p w14:paraId="1BDCBD03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5F168AF1" wp14:editId="7EDD27C6">
            <wp:extent cx="2522220" cy="520279"/>
            <wp:effectExtent l="0" t="0" r="0" b="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50" cy="52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E272" w14:textId="77777777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A45AF">
        <w:rPr>
          <w:rFonts w:ascii="Times New Roman" w:hAnsi="Times New Roman" w:cs="Times New Roman"/>
          <w:bCs/>
          <w:color w:val="000000"/>
        </w:rPr>
        <w:t>unde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: I0 =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investiţia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iniţială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;</w:t>
      </w:r>
    </w:p>
    <w:p w14:paraId="403B1EC2" w14:textId="77777777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A45AF">
        <w:rPr>
          <w:rFonts w:ascii="Times New Roman" w:hAnsi="Times New Roman" w:cs="Times New Roman"/>
          <w:bCs/>
          <w:color w:val="000000"/>
        </w:rPr>
        <w:t>CFDt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= cash flow-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disponibil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la care se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adaugă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beneficiile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publice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generate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investiţie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la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momentul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t;</w:t>
      </w:r>
    </w:p>
    <w:p w14:paraId="3717CF52" w14:textId="77777777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A45AF">
        <w:rPr>
          <w:rFonts w:ascii="Times New Roman" w:hAnsi="Times New Roman" w:cs="Times New Roman"/>
          <w:bCs/>
          <w:color w:val="000000"/>
        </w:rPr>
        <w:t xml:space="preserve">VR =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reziduală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proiectului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investiţii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;</w:t>
      </w:r>
    </w:p>
    <w:p w14:paraId="27794446" w14:textId="77777777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A45AF">
        <w:rPr>
          <w:rFonts w:ascii="Times New Roman" w:hAnsi="Times New Roman" w:cs="Times New Roman"/>
          <w:bCs/>
          <w:color w:val="000000"/>
        </w:rPr>
        <w:t xml:space="preserve">n =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durata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funcţionare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proiectului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investiţii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;</w:t>
      </w:r>
    </w:p>
    <w:p w14:paraId="723CEFD8" w14:textId="77777777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A45AF">
        <w:rPr>
          <w:rFonts w:ascii="Times New Roman" w:hAnsi="Times New Roman" w:cs="Times New Roman"/>
          <w:bCs/>
          <w:color w:val="000000"/>
        </w:rPr>
        <w:t xml:space="preserve">k = rata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actualizare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.</w:t>
      </w:r>
    </w:p>
    <w:p w14:paraId="26CA1713" w14:textId="77777777" w:rsidR="00690B6D" w:rsidRPr="00AA45AF" w:rsidRDefault="00690B6D" w:rsidP="00AA45AF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A45AF">
        <w:rPr>
          <w:rFonts w:ascii="Times New Roman" w:hAnsi="Times New Roman" w:cs="Times New Roman"/>
          <w:bCs/>
          <w:color w:val="000000"/>
        </w:rPr>
        <w:t>Pe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scurt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RIR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elementului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“k”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care VAN = 0. Cu cat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indicator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mai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mare, cu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atat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investitia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mai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profitabila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. Din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punct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vedere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punctarea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suplimentara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unui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RIR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mai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mare are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sens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cazul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institutiilor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bancare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urmaresc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indicator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momentul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 care se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doreste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finantarea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unui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investitii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.</w:t>
      </w:r>
    </w:p>
    <w:p w14:paraId="31E3F311" w14:textId="77777777" w:rsidR="00690B6D" w:rsidRPr="00AA45AF" w:rsidRDefault="00690B6D" w:rsidP="00AA45AF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granturile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nerambursabile s-a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optat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cadrul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axelor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Programului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Operational Regional (POR)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acordarea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5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puncte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cand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indicatorul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intre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0 si 5% si 0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puncte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daca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indicatorul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depaseste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5%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deoarece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se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considera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cazuri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proiectele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nu au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nevoie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finantare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nerambursabila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ci pot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obtine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finantare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la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institutiile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bancare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mecanism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fost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explicat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si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cadrul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Lucrarii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clarificatoare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nr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1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explica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motivele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au stat la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baza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acceptarii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unei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astfel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punctari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cadrul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proiectelor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POR.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Documentul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se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regaseste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la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adresa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:</w:t>
      </w:r>
    </w:p>
    <w:p w14:paraId="10F0B1BD" w14:textId="466F9CDB" w:rsidR="00690B6D" w:rsidRPr="00AA45AF" w:rsidRDefault="00AA45AF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hyperlink r:id="rId9" w:history="1">
        <w:r w:rsidRPr="008E4D25">
          <w:rPr>
            <w:rStyle w:val="Hyperlink"/>
            <w:rFonts w:ascii="Times New Roman" w:hAnsi="Times New Roman" w:cs="Times New Roman"/>
            <w:bCs/>
          </w:rPr>
          <w:t>http://old.fonduri-ue.ro/res/filepicker_users/cd25a597fd-62/Documente_Suport/Studii/0_Studii_Instrumente_Structurale/Pag.3_ACB/9_Rol_Indicatori_performanta.pdf</w:t>
        </w:r>
      </w:hyperlink>
      <w:r>
        <w:rPr>
          <w:rFonts w:ascii="Times New Roman" w:hAnsi="Times New Roman" w:cs="Times New Roman"/>
          <w:bCs/>
          <w:color w:val="000000"/>
        </w:rPr>
        <w:t xml:space="preserve"> </w:t>
      </w:r>
    </w:p>
    <w:p w14:paraId="5F8D9EB1" w14:textId="2B6EF0D5" w:rsidR="00690B6D" w:rsidRPr="00AA45AF" w:rsidRDefault="00690B6D" w:rsidP="00AA45AF">
      <w:pPr>
        <w:spacing w:line="360" w:lineRule="auto"/>
        <w:ind w:right="-178" w:firstLine="72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A45AF">
        <w:rPr>
          <w:rFonts w:ascii="Times New Roman" w:hAnsi="Times New Roman" w:cs="Times New Roman"/>
          <w:bCs/>
          <w:color w:val="000000"/>
        </w:rPr>
        <w:lastRenderedPageBreak/>
        <w:t>Folosirea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indicator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coroborat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cu art. 21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alin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d) din OUG 130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implica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faptul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primii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2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ani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viata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noii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investitii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, cash-flow-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aferent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investitiei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fie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totala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aproximativ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120.000 euro.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tabelul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mai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jos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am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exemplificat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cash-flow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trebuie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aiba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firma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cei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3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ani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sustenabilitate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indeplini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atat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conditiile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art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21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alin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d) cat si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avea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punctaj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maxim la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criteriul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RIR,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respectiv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un RIR de minim 7.51%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o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investitie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200.000 euro si o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reziduala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egala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cu 0:</w:t>
      </w:r>
    </w:p>
    <w:p w14:paraId="1FD86821" w14:textId="77777777" w:rsidR="00690B6D" w:rsidRPr="00AA45AF" w:rsidRDefault="00690B6D" w:rsidP="00AA45AF">
      <w:pPr>
        <w:jc w:val="both"/>
        <w:rPr>
          <w:rFonts w:ascii="Times New Roman" w:hAnsi="Times New Roman" w:cs="Times New Roman"/>
        </w:rPr>
      </w:pPr>
      <w:r w:rsidRPr="00AA45AF">
        <w:rPr>
          <w:rFonts w:ascii="Times New Roman" w:hAnsi="Times New Roman" w:cs="Times New Roman"/>
        </w:rPr>
        <w:t xml:space="preserve">Cash-flow </w:t>
      </w:r>
      <w:proofErr w:type="spellStart"/>
      <w:r w:rsidRPr="00AA45AF">
        <w:rPr>
          <w:rFonts w:ascii="Times New Roman" w:hAnsi="Times New Roman" w:cs="Times New Roman"/>
        </w:rPr>
        <w:t>investitie</w:t>
      </w:r>
      <w:proofErr w:type="spellEnd"/>
      <w:r w:rsidRPr="00AA45AF">
        <w:rPr>
          <w:rFonts w:ascii="Times New Roman" w:hAnsi="Times New Roman" w:cs="Times New Roman"/>
        </w:rPr>
        <w:t xml:space="preserve"> (euro)</w:t>
      </w:r>
    </w:p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701"/>
        <w:gridCol w:w="1701"/>
        <w:gridCol w:w="1417"/>
      </w:tblGrid>
      <w:tr w:rsidR="00690B6D" w:rsidRPr="00AA45AF" w14:paraId="46ECD1C8" w14:textId="77777777" w:rsidTr="00F1217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974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2B35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An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8D0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An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7771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An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08C3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EB18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RIR</w:t>
            </w:r>
          </w:p>
        </w:tc>
      </w:tr>
      <w:tr w:rsidR="00690B6D" w:rsidRPr="00AA45AF" w14:paraId="4FB785E8" w14:textId="77777777" w:rsidTr="00F1217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CC3D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Varianta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E6D3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FC01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119,768.00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738D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119,766.00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C31D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239,534.00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EFAC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7.51%</w:t>
            </w:r>
          </w:p>
        </w:tc>
      </w:tr>
      <w:tr w:rsidR="00690B6D" w:rsidRPr="00AA45AF" w14:paraId="2C42C538" w14:textId="77777777" w:rsidTr="00F1217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E8C0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Varianta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F4ED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10,000.00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0682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109,379.00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7DF8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119,377.00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7DA3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238,756.00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E1A8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7.51%</w:t>
            </w:r>
          </w:p>
        </w:tc>
      </w:tr>
      <w:tr w:rsidR="00690B6D" w:rsidRPr="00AA45AF" w14:paraId="71BCA234" w14:textId="77777777" w:rsidTr="00F1217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D15C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Varianta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6BFF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20,000.00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EA9A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98,990.00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565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118,988.00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C2D8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237,978.00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BBAC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7.51%</w:t>
            </w:r>
          </w:p>
        </w:tc>
      </w:tr>
      <w:tr w:rsidR="00690B6D" w:rsidRPr="00AA45AF" w14:paraId="514A7238" w14:textId="77777777" w:rsidTr="00F1217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943B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Varianta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98A3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30,000.00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9323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88,600.00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6B2D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118,600.00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5F6F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237,200.00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071B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7.51%</w:t>
            </w:r>
          </w:p>
        </w:tc>
      </w:tr>
      <w:tr w:rsidR="00690B6D" w:rsidRPr="00AA45AF" w14:paraId="00AD6E74" w14:textId="77777777" w:rsidTr="00F1217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BF43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Varianta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3CE9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40,000.00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B319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78,212.00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BB0B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118,210.00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83AA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236,422.00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F589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7.51%</w:t>
            </w:r>
          </w:p>
        </w:tc>
      </w:tr>
      <w:tr w:rsidR="00690B6D" w:rsidRPr="00AA45AF" w14:paraId="44A6D067" w14:textId="77777777" w:rsidTr="00F1217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F7FD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Varianta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5FF5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50,000.00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FE13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67,822.00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0CB6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117,822.00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7031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235,644.00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EBFB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7.51%</w:t>
            </w:r>
          </w:p>
        </w:tc>
      </w:tr>
      <w:tr w:rsidR="00690B6D" w:rsidRPr="00AA45AF" w14:paraId="7313ECAA" w14:textId="77777777" w:rsidTr="00F1217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DF8D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Varianta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FFC8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60,000.00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9A83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57,433.00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5AEC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117,433.00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694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234,866.00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833F" w14:textId="77777777" w:rsidR="00690B6D" w:rsidRPr="00AA45AF" w:rsidRDefault="00690B6D" w:rsidP="00AA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AF">
              <w:rPr>
                <w:rFonts w:ascii="Times New Roman" w:hAnsi="Times New Roman" w:cs="Times New Roman"/>
                <w:sz w:val="24"/>
                <w:szCs w:val="24"/>
              </w:rPr>
              <w:t>7.51%</w:t>
            </w:r>
          </w:p>
        </w:tc>
      </w:tr>
    </w:tbl>
    <w:p w14:paraId="5E6B1B5C" w14:textId="77777777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4E057DF3" w14:textId="77777777" w:rsidR="00690B6D" w:rsidRPr="00AA45AF" w:rsidRDefault="00690B6D" w:rsidP="00AA45AF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A45AF">
        <w:rPr>
          <w:rFonts w:ascii="Times New Roman" w:hAnsi="Times New Roman" w:cs="Times New Roman"/>
          <w:bCs/>
          <w:color w:val="000000"/>
        </w:rPr>
        <w:t>Concret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cazul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Variantei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1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prezentate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daca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firma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primul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AA45AF">
        <w:rPr>
          <w:rFonts w:ascii="Times New Roman" w:hAnsi="Times New Roman" w:cs="Times New Roman"/>
          <w:bCs/>
          <w:color w:val="000000"/>
        </w:rPr>
        <w:t>an</w:t>
      </w:r>
      <w:proofErr w:type="gram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sustenabilitate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proiectului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are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veniturile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egale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cu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cheltuielile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i.e. cash-flow = 0,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atunci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aceasta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trebuie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genereze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anul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2 un cash-flow de 119.766 euro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se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putea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incadra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premizele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initiale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.</w:t>
      </w:r>
    </w:p>
    <w:p w14:paraId="2BC271FD" w14:textId="77777777" w:rsidR="00AA45AF" w:rsidRDefault="00AA45AF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43BDB1D6" w14:textId="5A19D30D" w:rsidR="00690B6D" w:rsidRPr="00AA45AF" w:rsidRDefault="00690B6D" w:rsidP="00AA45AF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A45AF">
        <w:rPr>
          <w:rFonts w:ascii="Times New Roman" w:hAnsi="Times New Roman" w:cs="Times New Roman"/>
          <w:bCs/>
          <w:color w:val="000000"/>
        </w:rPr>
        <w:t>Atentie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!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Tinem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reamintim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faptul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sumele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NU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reprezinta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valorile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veniturilor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trebuie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obtinute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ci a cash-flow-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an,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respectiv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diferentei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dintre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veniturile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realizate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si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cheltuielile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efectuate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(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aferente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activitatii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generate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investitie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nu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intregii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activitati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firmei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).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Avand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vedere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faptul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 art 21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alin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d) face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referire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la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venituri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rezulta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faptul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valori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trebuie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fie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chiar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mai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mari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.</w:t>
      </w:r>
    </w:p>
    <w:p w14:paraId="5F5C416C" w14:textId="77777777" w:rsidR="00690B6D" w:rsidRPr="00AA45AF" w:rsidRDefault="00690B6D" w:rsidP="00AA45AF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A45AF">
        <w:rPr>
          <w:rFonts w:ascii="Times New Roman" w:hAnsi="Times New Roman" w:cs="Times New Roman"/>
          <w:bCs/>
          <w:color w:val="000000"/>
        </w:rPr>
        <w:t>Astfel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sume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sunt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in mod evident,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greu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realizat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practica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mai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ales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primii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ani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unei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noi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investitii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Mentionam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faptul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cadrul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proiectelor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similare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finantate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prin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POR, RIR-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se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calculeaza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la o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durata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viata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10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ani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investitiei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fel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scazand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presiunea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cash-flow-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primilor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ani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.</w:t>
      </w:r>
    </w:p>
    <w:p w14:paraId="7146AE8A" w14:textId="77777777" w:rsidR="00690B6D" w:rsidRPr="00AA45AF" w:rsidRDefault="00690B6D" w:rsidP="00AA45AF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AA45AF">
        <w:rPr>
          <w:rFonts w:ascii="Times New Roman" w:hAnsi="Times New Roman" w:cs="Times New Roman"/>
          <w:bCs/>
          <w:color w:val="000000"/>
        </w:rPr>
        <w:t xml:space="preserve">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notat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faptul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ca,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conformitate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cu OUG 130,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maxima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grantului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nerambursabil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200.000 euro,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dar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avand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vedere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un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punctaj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maxim, un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beneficiar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regiunea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Bucuresti-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Ilfov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trebuie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faca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dovada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unei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cofinantari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45%,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atunci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un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astfel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putea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avea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o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363.636,36 euro (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dintre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care 163.636,36 euro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reprezentand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cofinantarea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si 200.000 euro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grantul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nerambursabil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).</w:t>
      </w:r>
    </w:p>
    <w:p w14:paraId="3FA2C9F6" w14:textId="77777777" w:rsidR="00690B6D" w:rsidRPr="00AA45AF" w:rsidRDefault="00690B6D" w:rsidP="00AA45AF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AA45AF">
        <w:rPr>
          <w:rFonts w:ascii="Times New Roman" w:hAnsi="Times New Roman" w:cs="Times New Roman"/>
          <w:bCs/>
          <w:color w:val="000000"/>
        </w:rPr>
        <w:t xml:space="preserve">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caz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totala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cash-flow-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ului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respectiv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diferenta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dintre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venituri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si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cheltuieli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cei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3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ani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sustenabilitate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trebuie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atinga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pragul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425.000 euro (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aproximativa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)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avea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un RIR de 7.51%.</w:t>
      </w:r>
    </w:p>
    <w:p w14:paraId="632AB683" w14:textId="77777777" w:rsidR="00690B6D" w:rsidRPr="00AA45AF" w:rsidRDefault="00690B6D" w:rsidP="00AA45AF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AA45AF">
        <w:rPr>
          <w:rFonts w:ascii="Times New Roman" w:hAnsi="Times New Roman" w:cs="Times New Roman"/>
          <w:bCs/>
          <w:color w:val="000000"/>
        </w:rPr>
        <w:t xml:space="preserve">Din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considerente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concluzionam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punctarea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unui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astfel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indicator nu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aduce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un plus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proiectelor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finantate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ci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genera o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avalansa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care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arata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bine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hartie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dar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fara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baza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practica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argument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dublat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si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faptul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</w:t>
      </w:r>
    </w:p>
    <w:p w14:paraId="78A898C0" w14:textId="77777777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A45AF">
        <w:rPr>
          <w:rFonts w:ascii="Times New Roman" w:hAnsi="Times New Roman" w:cs="Times New Roman"/>
          <w:bCs/>
          <w:color w:val="000000"/>
        </w:rPr>
        <w:t xml:space="preserve">nu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exista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penalitati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evaluarea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sau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implementarea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proiectului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crearea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unui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indicator cu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valoare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nerealista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.</w:t>
      </w:r>
    </w:p>
    <w:p w14:paraId="76F903CB" w14:textId="4BD73B0D" w:rsidR="00690B6D" w:rsidRPr="00AA45AF" w:rsidRDefault="00690B6D" w:rsidP="00AA45AF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AA45AF">
        <w:rPr>
          <w:rFonts w:ascii="Times New Roman" w:hAnsi="Times New Roman" w:cs="Times New Roman"/>
          <w:bCs/>
          <w:color w:val="000000"/>
        </w:rPr>
        <w:t xml:space="preserve">In plus,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punctul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c) al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Anexei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4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avantajeaza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firme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existente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cu profit mare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și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posibilitate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mare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cofinanțare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iar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microintreprinderile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si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firmele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mici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nu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putea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obtine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un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punctaj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mare.</w:t>
      </w:r>
    </w:p>
    <w:p w14:paraId="1B01442E" w14:textId="1AA1661D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CD7325D" w14:textId="77777777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4A13814D" w14:textId="77777777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A45AF">
        <w:rPr>
          <w:rFonts w:ascii="Times New Roman" w:hAnsi="Times New Roman" w:cs="Times New Roman"/>
          <w:b/>
          <w:color w:val="000000"/>
        </w:rPr>
        <w:t xml:space="preserve">2.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Propunere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grilă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evaluare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revizuită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proiectele</w:t>
      </w:r>
      <w:proofErr w:type="spellEnd"/>
      <w:r w:rsidRPr="00AA45AF">
        <w:rPr>
          <w:rFonts w:ascii="Times New Roman" w:hAnsi="Times New Roman" w:cs="Times New Roman"/>
          <w:b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/>
          <w:color w:val="000000"/>
        </w:rPr>
        <w:t>investiții</w:t>
      </w:r>
      <w:proofErr w:type="spellEnd"/>
    </w:p>
    <w:p w14:paraId="5CDEB85F" w14:textId="1EC377CA" w:rsidR="002A2852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A45AF">
        <w:rPr>
          <w:rFonts w:ascii="Times New Roman" w:hAnsi="Times New Roman" w:cs="Times New Roman"/>
          <w:bCs/>
          <w:color w:val="000000"/>
        </w:rPr>
        <w:t>În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continuarea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justificării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prezentate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mai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sus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transmitem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o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propunere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grilă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evaluare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evaluarea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proiectelor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investiții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finanțate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Apreciem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faptul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această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versiune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grilă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evaluare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proiectelor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investiții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permite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o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selecție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mai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riguroasă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și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justă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proiectelor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urmează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a fi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finanțate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prin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această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măsură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având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în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vedere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faptul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sunt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evaluați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indicatori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economico-financiari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întreprinderilor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atât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în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trecut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cât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și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în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dinamică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(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prin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previzionarea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acestora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după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finalizarea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proiectelor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investiții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).</w:t>
      </w:r>
    </w:p>
    <w:p w14:paraId="1C3BE9BB" w14:textId="378B8E03" w:rsidR="002A2852" w:rsidRPr="00AA45AF" w:rsidRDefault="002A2852" w:rsidP="00AA45AF">
      <w:pPr>
        <w:jc w:val="both"/>
        <w:rPr>
          <w:rFonts w:ascii="Times New Roman" w:hAnsi="Times New Roman" w:cs="Times New Roman"/>
          <w:noProof/>
        </w:rPr>
      </w:pPr>
      <w:r w:rsidRPr="00AA45AF">
        <w:rPr>
          <w:rFonts w:ascii="Times New Roman" w:hAnsi="Times New Roman" w:cs="Times New Roman"/>
          <w:noProof/>
        </w:rPr>
        <w:drawing>
          <wp:inline distT="0" distB="0" distL="0" distR="0" wp14:anchorId="0C230EDB" wp14:editId="3AB873A1">
            <wp:extent cx="6075680" cy="1419136"/>
            <wp:effectExtent l="0" t="0" r="127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33" cy="149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3DAC2" w14:textId="5138BE08" w:rsidR="002A2852" w:rsidRPr="00AA45AF" w:rsidRDefault="002A2852" w:rsidP="00AA45AF">
      <w:pPr>
        <w:jc w:val="both"/>
        <w:rPr>
          <w:rFonts w:ascii="Times New Roman" w:hAnsi="Times New Roman" w:cs="Times New Roman"/>
          <w:noProof/>
        </w:rPr>
      </w:pPr>
      <w:r w:rsidRPr="00AA45AF">
        <w:rPr>
          <w:rFonts w:ascii="Times New Roman" w:hAnsi="Times New Roman" w:cs="Times New Roman"/>
          <w:noProof/>
        </w:rPr>
        <w:drawing>
          <wp:inline distT="0" distB="0" distL="0" distR="0" wp14:anchorId="27B69675" wp14:editId="203ACEAF">
            <wp:extent cx="6075680" cy="4369418"/>
            <wp:effectExtent l="0" t="0" r="127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294" cy="441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0AE2" w14:textId="0C24DDFA" w:rsidR="002A2852" w:rsidRPr="00AA45AF" w:rsidRDefault="002A2852" w:rsidP="00AA45AF">
      <w:pPr>
        <w:jc w:val="both"/>
        <w:rPr>
          <w:rFonts w:ascii="Times New Roman" w:hAnsi="Times New Roman" w:cs="Times New Roman"/>
        </w:rPr>
      </w:pPr>
      <w:r w:rsidRPr="00AA45AF">
        <w:rPr>
          <w:rFonts w:ascii="Times New Roman" w:hAnsi="Times New Roman" w:cs="Times New Roman"/>
          <w:noProof/>
        </w:rPr>
        <w:drawing>
          <wp:inline distT="0" distB="0" distL="0" distR="0" wp14:anchorId="1B640B6E" wp14:editId="39EB1F84">
            <wp:extent cx="6075680" cy="2582452"/>
            <wp:effectExtent l="0" t="0" r="1270" b="889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93" cy="260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7D2F" w14:textId="7E67C560" w:rsidR="002A2852" w:rsidRPr="00AA45AF" w:rsidRDefault="002A2852" w:rsidP="00AA45AF">
      <w:pPr>
        <w:jc w:val="both"/>
        <w:rPr>
          <w:rFonts w:ascii="Times New Roman" w:hAnsi="Times New Roman" w:cs="Times New Roman"/>
        </w:rPr>
      </w:pPr>
      <w:r w:rsidRPr="00AA45AF">
        <w:rPr>
          <w:rFonts w:ascii="Times New Roman" w:hAnsi="Times New Roman" w:cs="Times New Roman"/>
          <w:noProof/>
        </w:rPr>
        <w:drawing>
          <wp:inline distT="0" distB="0" distL="0" distR="0" wp14:anchorId="39A3C64E" wp14:editId="745F12F9">
            <wp:extent cx="6042660" cy="2614282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57" cy="262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BFBDE" w14:textId="570DE78F" w:rsidR="002A2852" w:rsidRPr="00AA45AF" w:rsidRDefault="002A2852" w:rsidP="00AA45AF">
      <w:pPr>
        <w:jc w:val="both"/>
        <w:rPr>
          <w:rFonts w:ascii="Times New Roman" w:hAnsi="Times New Roman" w:cs="Times New Roman"/>
        </w:rPr>
      </w:pPr>
      <w:r w:rsidRPr="00AA45AF">
        <w:rPr>
          <w:rFonts w:ascii="Times New Roman" w:hAnsi="Times New Roman" w:cs="Times New Roman"/>
          <w:noProof/>
        </w:rPr>
        <w:drawing>
          <wp:inline distT="0" distB="0" distL="0" distR="0" wp14:anchorId="1116A230" wp14:editId="2703063C">
            <wp:extent cx="6042660" cy="2728943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869" cy="27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92B12" w14:textId="02762E61" w:rsidR="00690B6D" w:rsidRPr="00AA45AF" w:rsidRDefault="00690B6D" w:rsidP="00AA45AF">
      <w:pPr>
        <w:jc w:val="both"/>
        <w:rPr>
          <w:rFonts w:ascii="Times New Roman" w:hAnsi="Times New Roman" w:cs="Times New Roman"/>
        </w:rPr>
      </w:pPr>
    </w:p>
    <w:p w14:paraId="5932CEBB" w14:textId="31A80C7C" w:rsidR="00690B6D" w:rsidRPr="00AA45AF" w:rsidRDefault="00690B6D" w:rsidP="00AA45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Extindere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coduri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CAEN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eligibile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grantul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capital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lucru</w:t>
      </w:r>
      <w:proofErr w:type="spellEnd"/>
    </w:p>
    <w:p w14:paraId="0D31BB65" w14:textId="77777777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A45AF">
        <w:rPr>
          <w:rFonts w:ascii="Times New Roman" w:hAnsi="Times New Roman" w:cs="Times New Roman"/>
          <w:bCs/>
          <w:color w:val="000000"/>
        </w:rPr>
        <w:t>Propunem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extinderea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listei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domenii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activitate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/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coduri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CAEN rev. 2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eligibile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finanțările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tip capital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lucru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(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cele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prevăzute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în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anexa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nr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. 2 la OUG,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lista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domeniilor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activitate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eligibile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în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cadrul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măsurii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2 „Grant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capital de </w:t>
      </w:r>
      <w:proofErr w:type="spellStart"/>
      <w:proofErr w:type="gramStart"/>
      <w:r w:rsidRPr="00AA45AF">
        <w:rPr>
          <w:rFonts w:ascii="Times New Roman" w:hAnsi="Times New Roman" w:cs="Times New Roman"/>
          <w:bCs/>
          <w:color w:val="000000"/>
        </w:rPr>
        <w:t>lucru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>“</w:t>
      </w:r>
      <w:proofErr w:type="gramEnd"/>
      <w:r w:rsidRPr="00AA45AF">
        <w:rPr>
          <w:rFonts w:ascii="Times New Roman" w:hAnsi="Times New Roman" w:cs="Times New Roman"/>
          <w:bCs/>
          <w:color w:val="000000"/>
        </w:rPr>
        <w:t>).</w:t>
      </w:r>
    </w:p>
    <w:p w14:paraId="47EED4E7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- 0121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Cultivarea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strugurilor</w:t>
      </w:r>
      <w:proofErr w:type="spellEnd"/>
    </w:p>
    <w:p w14:paraId="306A7923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- 1071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Fabricarea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pâinii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fabricarea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prajiturilor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a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produselor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proaspete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patiserie</w:t>
      </w:r>
      <w:proofErr w:type="spellEnd"/>
    </w:p>
    <w:p w14:paraId="7FB5F7AC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- 1072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Fabricarea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biscuitilor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piscoturilor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fabricarea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prajiturilor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a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produselor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conservate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patiserie</w:t>
      </w:r>
      <w:proofErr w:type="spellEnd"/>
    </w:p>
    <w:p w14:paraId="02EB7806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- 1091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Fabricarea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preparatelor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hrana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animalelor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ferma</w:t>
      </w:r>
      <w:proofErr w:type="spellEnd"/>
    </w:p>
    <w:p w14:paraId="1E683F72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- 1092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Fabricarea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preparatelor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hrana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animalelor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companie</w:t>
      </w:r>
      <w:proofErr w:type="spellEnd"/>
    </w:p>
    <w:p w14:paraId="2056B3E9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- 2211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Fabricarea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anvelopelor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a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camerelor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aer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resaparea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refacerea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anvelopelor</w:t>
      </w:r>
      <w:proofErr w:type="spellEnd"/>
    </w:p>
    <w:p w14:paraId="3940C4AA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- 4120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Lucrari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constructie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cladirilor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rezidentiale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nerezidentiale</w:t>
      </w:r>
      <w:proofErr w:type="spellEnd"/>
    </w:p>
    <w:p w14:paraId="04C5917E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- 4618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Intermedieri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in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specializat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in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vanzarea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produselor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caracter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specific</w:t>
      </w:r>
    </w:p>
    <w:p w14:paraId="2A6B392F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- 4641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ridicata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al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produselor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textile</w:t>
      </w:r>
    </w:p>
    <w:p w14:paraId="6E7D9291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- 4642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ridicata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al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imbracamintei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incaltamintei</w:t>
      </w:r>
      <w:proofErr w:type="spellEnd"/>
    </w:p>
    <w:p w14:paraId="626CC45A" w14:textId="0E33EDB1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- 4643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amanuntul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at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discurilor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benzilor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magnetice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sau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fara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inregistrare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audio/video, in magazine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specializate</w:t>
      </w:r>
      <w:proofErr w:type="spellEnd"/>
    </w:p>
    <w:p w14:paraId="01B59E52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- 4644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ridicata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al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produselor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din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ceramica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stictarie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produse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intretinere</w:t>
      </w:r>
      <w:proofErr w:type="spellEnd"/>
    </w:p>
    <w:p w14:paraId="2F87594D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- 4645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ridicata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at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produselor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cosmetice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parfumerie</w:t>
      </w:r>
      <w:proofErr w:type="spellEnd"/>
    </w:p>
    <w:p w14:paraId="7679AA93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- 4647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ridicata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at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mobilei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covoarelor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articolelor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iluminat</w:t>
      </w:r>
      <w:proofErr w:type="spellEnd"/>
    </w:p>
    <w:p w14:paraId="3491C4CF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- 4648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ridicata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at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ceasurilor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bijuteriilor</w:t>
      </w:r>
      <w:proofErr w:type="spellEnd"/>
    </w:p>
    <w:p w14:paraId="57381955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- 4649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ridicata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at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altor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bunuri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uz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gospodaresc</w:t>
      </w:r>
      <w:proofErr w:type="spellEnd"/>
    </w:p>
    <w:p w14:paraId="1E30AD72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- 4690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ridicata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nespecializat</w:t>
      </w:r>
      <w:proofErr w:type="spellEnd"/>
    </w:p>
    <w:p w14:paraId="4C7AA08A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- 4719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amanuntul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in magazine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nespecializate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vanzare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predominanta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produse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nealimentare</w:t>
      </w:r>
      <w:proofErr w:type="spellEnd"/>
    </w:p>
    <w:p w14:paraId="176DBBD5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- 4741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amanuntul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al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calculatoarelor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unitatilor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periferice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software¬ului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in magazine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specializate</w:t>
      </w:r>
      <w:proofErr w:type="spellEnd"/>
    </w:p>
    <w:p w14:paraId="67CB8ADB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- 4743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amanuntul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al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echipamentului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audio video in magazine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specializate</w:t>
      </w:r>
      <w:proofErr w:type="spellEnd"/>
    </w:p>
    <w:p w14:paraId="069AE168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- 4759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amanuntul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al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mobilei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, at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articolelor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iluminat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al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articolelor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uz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casnic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n.c.a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., in magazine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specializate</w:t>
      </w:r>
      <w:proofErr w:type="spellEnd"/>
    </w:p>
    <w:p w14:paraId="7EC61131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- 4761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amanuntul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al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cartilor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in magazine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specializate</w:t>
      </w:r>
      <w:proofErr w:type="spellEnd"/>
    </w:p>
    <w:p w14:paraId="0F8E90C5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- 4762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amanuntul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al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ziarelor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articolelor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papetarie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in magazine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specializate</w:t>
      </w:r>
      <w:proofErr w:type="spellEnd"/>
    </w:p>
    <w:p w14:paraId="6B5494BB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- 4775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amanuntul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al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produselor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cosmetice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parfumerie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in magazine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specializate</w:t>
      </w:r>
      <w:proofErr w:type="spellEnd"/>
    </w:p>
    <w:p w14:paraId="26DAA87F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- 4778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amanuntul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al altar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bunuri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noi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, in magazine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specializate</w:t>
      </w:r>
      <w:proofErr w:type="spellEnd"/>
    </w:p>
    <w:p w14:paraId="2D7ECC9B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- 4791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amanuntul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prin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intermediul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caselor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comenzi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sau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prin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Internet</w:t>
      </w:r>
    </w:p>
    <w:p w14:paraId="747C202F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- 4799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Comert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cu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amanuntul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efectuat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în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afara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magazinelor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standurilor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chioscurilor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pietelor</w:t>
      </w:r>
      <w:proofErr w:type="spellEnd"/>
    </w:p>
    <w:p w14:paraId="58EBAF06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- 6810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Cumpararea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vanzarea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bunuri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imobiliare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proprii</w:t>
      </w:r>
      <w:proofErr w:type="spellEnd"/>
    </w:p>
    <w:p w14:paraId="64A64E12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- 6820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Inchirierea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subinchirierea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bunurilor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imobiliare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proprii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sau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in leasing</w:t>
      </w:r>
    </w:p>
    <w:p w14:paraId="5B0E0106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- 6821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Inchirierea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subinchirierea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bunurilor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imobiliare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proprii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sau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in leasing</w:t>
      </w:r>
    </w:p>
    <w:p w14:paraId="434A2004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- 6831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Agentii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imobiliare</w:t>
      </w:r>
      <w:proofErr w:type="spellEnd"/>
    </w:p>
    <w:p w14:paraId="0DBB1552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- 6832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Administrarea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imobilelor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baza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comision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sau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contract</w:t>
      </w:r>
    </w:p>
    <w:p w14:paraId="5D2D926D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- 6910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Activitati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juridice</w:t>
      </w:r>
      <w:proofErr w:type="spellEnd"/>
    </w:p>
    <w:p w14:paraId="38573CCF" w14:textId="398F9E05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- 7500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Activitati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veterinare</w:t>
      </w:r>
      <w:proofErr w:type="spellEnd"/>
    </w:p>
    <w:p w14:paraId="55AE0247" w14:textId="495C2969" w:rsidR="00072091" w:rsidRPr="00AA45AF" w:rsidRDefault="00072091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- 8623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Activitati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asistenta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stomatologica</w:t>
      </w:r>
      <w:proofErr w:type="spellEnd"/>
    </w:p>
    <w:p w14:paraId="05C4A98B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- 9601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Spalarea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curatarea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uscata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articolelor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textile si a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produselor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din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blana</w:t>
      </w:r>
      <w:proofErr w:type="spellEnd"/>
    </w:p>
    <w:p w14:paraId="64A8F2E4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- 9602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Coafura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alte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activitati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infrumusetare</w:t>
      </w:r>
      <w:proofErr w:type="spellEnd"/>
    </w:p>
    <w:p w14:paraId="407AF3EA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- 9603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Activitati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pompe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funebre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si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similare</w:t>
      </w:r>
      <w:proofErr w:type="spellEnd"/>
    </w:p>
    <w:p w14:paraId="47EC1EBD" w14:textId="77777777" w:rsidR="00690B6D" w:rsidRPr="00AA45AF" w:rsidRDefault="00690B6D" w:rsidP="00AA45AF">
      <w:pPr>
        <w:pStyle w:val="ListParagraph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- 9604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Activitati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intretinere</w:t>
      </w:r>
      <w:proofErr w:type="spellEnd"/>
      <w:r w:rsidRPr="00AA45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A45AF">
        <w:rPr>
          <w:rFonts w:ascii="Times New Roman" w:hAnsi="Times New Roman"/>
          <w:bCs/>
          <w:color w:val="000000"/>
          <w:sz w:val="24"/>
          <w:szCs w:val="24"/>
        </w:rPr>
        <w:t>corporala</w:t>
      </w:r>
      <w:proofErr w:type="spellEnd"/>
    </w:p>
    <w:p w14:paraId="4864247B" w14:textId="77777777" w:rsidR="00690B6D" w:rsidRPr="00AA45AF" w:rsidRDefault="00690B6D" w:rsidP="00AA45AF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AA45AF">
        <w:rPr>
          <w:rFonts w:ascii="Times New Roman" w:hAnsi="Times New Roman" w:cs="Times New Roman"/>
          <w:bCs/>
          <w:color w:val="000000"/>
        </w:rPr>
        <w:t>Includerea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acestor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domenii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în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lista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coduri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CAEN rev. 2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eligibile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va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permite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finanțarea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capitalului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lucru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pentru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mai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multe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întreprinderi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toate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aceste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domenii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fiind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afectate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direct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sau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indirect de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criza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economică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care se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proliferează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în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A45AF">
        <w:rPr>
          <w:rFonts w:ascii="Times New Roman" w:hAnsi="Times New Roman" w:cs="Times New Roman"/>
          <w:bCs/>
          <w:color w:val="000000"/>
        </w:rPr>
        <w:t>prezent</w:t>
      </w:r>
      <w:proofErr w:type="spellEnd"/>
      <w:r w:rsidRPr="00AA45AF">
        <w:rPr>
          <w:rFonts w:ascii="Times New Roman" w:hAnsi="Times New Roman" w:cs="Times New Roman"/>
          <w:bCs/>
          <w:color w:val="000000"/>
        </w:rPr>
        <w:t xml:space="preserve">. </w:t>
      </w:r>
    </w:p>
    <w:p w14:paraId="0A2E0B19" w14:textId="2D455DF8" w:rsidR="00690B6D" w:rsidRPr="00AA45AF" w:rsidRDefault="00690B6D" w:rsidP="00AA45AF">
      <w:pPr>
        <w:jc w:val="both"/>
        <w:rPr>
          <w:rFonts w:ascii="Times New Roman" w:hAnsi="Times New Roman" w:cs="Times New Roman"/>
        </w:rPr>
      </w:pPr>
    </w:p>
    <w:sectPr w:rsidR="00690B6D" w:rsidRPr="00AA45AF" w:rsidSect="00EC6257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-567" w:right="1134" w:bottom="-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34B80" w14:textId="77777777" w:rsidR="00BA20D1" w:rsidRDefault="00BA20D1" w:rsidP="0097479D">
      <w:r>
        <w:separator/>
      </w:r>
    </w:p>
  </w:endnote>
  <w:endnote w:type="continuationSeparator" w:id="0">
    <w:p w14:paraId="4A8DBD18" w14:textId="77777777" w:rsidR="00BA20D1" w:rsidRDefault="00BA20D1" w:rsidP="0097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A506A" w14:textId="144A0A36" w:rsidR="00F523D2" w:rsidRDefault="00BA20D1">
    <w:pPr>
      <w:pStyle w:val="Footer"/>
    </w:pPr>
    <w:sdt>
      <w:sdtPr>
        <w:id w:val="969400743"/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523D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60FA" w14:textId="14C4921F" w:rsidR="00F523D2" w:rsidRDefault="005124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67159" wp14:editId="3094C680">
          <wp:simplePos x="0" y="0"/>
          <wp:positionH relativeFrom="margin">
            <wp:posOffset>-588475</wp:posOffset>
          </wp:positionH>
          <wp:positionV relativeFrom="margin">
            <wp:posOffset>9756140</wp:posOffset>
          </wp:positionV>
          <wp:extent cx="7378700" cy="579120"/>
          <wp:effectExtent l="0" t="0" r="1270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j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3D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3E8D6" w14:textId="77777777" w:rsidR="00BA20D1" w:rsidRDefault="00BA20D1" w:rsidP="0097479D">
      <w:r>
        <w:separator/>
      </w:r>
    </w:p>
  </w:footnote>
  <w:footnote w:type="continuationSeparator" w:id="0">
    <w:p w14:paraId="42D67C01" w14:textId="77777777" w:rsidR="00BA20D1" w:rsidRDefault="00BA20D1" w:rsidP="0097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98DC" w14:textId="77777777" w:rsidR="00F523D2" w:rsidRDefault="00BA20D1">
    <w:pPr>
      <w:pStyle w:val="Header"/>
    </w:pPr>
    <w:sdt>
      <w:sdtPr>
        <w:id w:val="171999623"/>
        <w:placeholder>
          <w:docPart w:val="906F7F4A824B2E48B8A0BF240F6E51F9"/>
        </w:placeholder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171999624"/>
        <w:placeholder>
          <w:docPart w:val="7337206C5ACB374C8747AE142674DD79"/>
        </w:placeholder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171999625"/>
        <w:placeholder>
          <w:docPart w:val="FD22E00B0E687049B7608A96D92C21FE"/>
        </w:placeholder>
        <w:temporary/>
        <w:showingPlcHdr/>
      </w:sdtPr>
      <w:sdtEndPr/>
      <w:sdtContent>
        <w:r w:rsidR="00F523D2">
          <w:t>[Type text]</w:t>
        </w:r>
      </w:sdtContent>
    </w:sdt>
  </w:p>
  <w:p w14:paraId="0660DB02" w14:textId="77777777" w:rsidR="00F523D2" w:rsidRDefault="00F52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1235" w14:textId="41369E53" w:rsidR="00F523D2" w:rsidRDefault="00F523D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4A41CFD" wp14:editId="7D245077">
          <wp:simplePos x="0" y="0"/>
          <wp:positionH relativeFrom="margin">
            <wp:posOffset>-800100</wp:posOffset>
          </wp:positionH>
          <wp:positionV relativeFrom="margin">
            <wp:posOffset>-154940</wp:posOffset>
          </wp:positionV>
          <wp:extent cx="7658100" cy="954405"/>
          <wp:effectExtent l="0" t="0" r="12700" b="107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20E"/>
    <w:multiLevelType w:val="hybridMultilevel"/>
    <w:tmpl w:val="942CC5D8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46FCF"/>
    <w:multiLevelType w:val="hybridMultilevel"/>
    <w:tmpl w:val="FA9020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D"/>
    <w:rsid w:val="00072091"/>
    <w:rsid w:val="000960CB"/>
    <w:rsid w:val="00192341"/>
    <w:rsid w:val="001C5A99"/>
    <w:rsid w:val="001D606B"/>
    <w:rsid w:val="001E4908"/>
    <w:rsid w:val="002A2852"/>
    <w:rsid w:val="002D5C4E"/>
    <w:rsid w:val="003577DD"/>
    <w:rsid w:val="00376565"/>
    <w:rsid w:val="003C1996"/>
    <w:rsid w:val="003C41EB"/>
    <w:rsid w:val="00415994"/>
    <w:rsid w:val="00450B49"/>
    <w:rsid w:val="00512471"/>
    <w:rsid w:val="00515F70"/>
    <w:rsid w:val="0065037B"/>
    <w:rsid w:val="00683F56"/>
    <w:rsid w:val="00687F98"/>
    <w:rsid w:val="00690B6D"/>
    <w:rsid w:val="007913AE"/>
    <w:rsid w:val="00873876"/>
    <w:rsid w:val="008904BD"/>
    <w:rsid w:val="008D6F90"/>
    <w:rsid w:val="00950FC2"/>
    <w:rsid w:val="0097479D"/>
    <w:rsid w:val="009B640E"/>
    <w:rsid w:val="009C61E5"/>
    <w:rsid w:val="00A66D84"/>
    <w:rsid w:val="00AA45AF"/>
    <w:rsid w:val="00B337EE"/>
    <w:rsid w:val="00BA20D1"/>
    <w:rsid w:val="00C551C9"/>
    <w:rsid w:val="00D12B34"/>
    <w:rsid w:val="00D13177"/>
    <w:rsid w:val="00D476ED"/>
    <w:rsid w:val="00E9475D"/>
    <w:rsid w:val="00EC6257"/>
    <w:rsid w:val="00EF764A"/>
    <w:rsid w:val="00F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59E6A"/>
  <w14:defaultImageDpi w14:val="300"/>
  <w15:docId w15:val="{91D94860-A217-43E1-986D-BD6DD464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79D"/>
  </w:style>
  <w:style w:type="paragraph" w:styleId="Footer">
    <w:name w:val="footer"/>
    <w:basedOn w:val="Normal"/>
    <w:link w:val="Foot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9D"/>
  </w:style>
  <w:style w:type="paragraph" w:styleId="BalloonText">
    <w:name w:val="Balloon Text"/>
    <w:basedOn w:val="Normal"/>
    <w:link w:val="BalloonTextChar"/>
    <w:uiPriority w:val="99"/>
    <w:semiHidden/>
    <w:unhideWhenUsed/>
    <w:rsid w:val="00974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B6D"/>
    <w:pPr>
      <w:ind w:left="720"/>
    </w:pPr>
    <w:rPr>
      <w:rFonts w:ascii="Calibri" w:eastAsiaTheme="minorHAnsi" w:hAnsi="Calibri" w:cs="Times New Roman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690B6D"/>
    <w:rPr>
      <w:rFonts w:eastAsiaTheme="minorHAnsi"/>
      <w:sz w:val="22"/>
      <w:szCs w:val="22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B6D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ro-RO"/>
    </w:rPr>
  </w:style>
  <w:style w:type="character" w:styleId="Hyperlink">
    <w:name w:val="Hyperlink"/>
    <w:basedOn w:val="DefaultParagraphFont"/>
    <w:uiPriority w:val="99"/>
    <w:unhideWhenUsed/>
    <w:rsid w:val="00AA4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.fonduri-ue.ro/res/filepicker_users/cd25a597fd-62/Documente_Suport/Studii/0_Studii_Instrumente_Structurale/Pag.3_ACB/9_Rol_Indicatori_performanta.pdf" TargetMode="External"/><Relationship Id="rId1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6F7F4A824B2E48B8A0BF240F6E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6C90-B28D-DB47-8CFA-414930A48A6E}"/>
      </w:docPartPr>
      <w:docPartBody>
        <w:p w:rsidR="00256E31" w:rsidRDefault="00AA6997" w:rsidP="00AA6997">
          <w:pPr>
            <w:pStyle w:val="906F7F4A824B2E48B8A0BF240F6E51F9"/>
          </w:pPr>
          <w:r>
            <w:t>[Type text]</w:t>
          </w:r>
        </w:p>
      </w:docPartBody>
    </w:docPart>
    <w:docPart>
      <w:docPartPr>
        <w:name w:val="7337206C5ACB374C8747AE142674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271D-F06F-AD47-A6CC-89A4BF47F334}"/>
      </w:docPartPr>
      <w:docPartBody>
        <w:p w:rsidR="00256E31" w:rsidRDefault="00AA6997" w:rsidP="00AA6997">
          <w:pPr>
            <w:pStyle w:val="7337206C5ACB374C8747AE142674DD79"/>
          </w:pPr>
          <w:r>
            <w:t>[Type text]</w:t>
          </w:r>
        </w:p>
      </w:docPartBody>
    </w:docPart>
    <w:docPart>
      <w:docPartPr>
        <w:name w:val="FD22E00B0E687049B7608A96D92C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1998-AC8F-5544-A0F5-431D9F65541C}"/>
      </w:docPartPr>
      <w:docPartBody>
        <w:p w:rsidR="00256E31" w:rsidRDefault="00AA6997" w:rsidP="00AA6997">
          <w:pPr>
            <w:pStyle w:val="FD22E00B0E687049B7608A96D92C21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7"/>
    <w:rsid w:val="00256E31"/>
    <w:rsid w:val="00514C98"/>
    <w:rsid w:val="009B13F0"/>
    <w:rsid w:val="00AA6997"/>
    <w:rsid w:val="00B031C0"/>
    <w:rsid w:val="00B36880"/>
    <w:rsid w:val="00BD26DF"/>
    <w:rsid w:val="00C70DB5"/>
    <w:rsid w:val="00E75363"/>
    <w:rsid w:val="00F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F7F4A824B2E48B8A0BF240F6E51F9">
    <w:name w:val="906F7F4A824B2E48B8A0BF240F6E51F9"/>
    <w:rsid w:val="00AA6997"/>
  </w:style>
  <w:style w:type="paragraph" w:customStyle="1" w:styleId="7337206C5ACB374C8747AE142674DD79">
    <w:name w:val="7337206C5ACB374C8747AE142674DD79"/>
    <w:rsid w:val="00AA6997"/>
  </w:style>
  <w:style w:type="paragraph" w:customStyle="1" w:styleId="FD22E00B0E687049B7608A96D92C21FE">
    <w:name w:val="FD22E00B0E687049B7608A96D92C21FE"/>
    <w:rsid w:val="00AA6997"/>
  </w:style>
  <w:style w:type="paragraph" w:customStyle="1" w:styleId="73744CC3DCDBC8449746C31DCD1D9BC7">
    <w:name w:val="73744CC3DCDBC8449746C31DCD1D9BC7"/>
    <w:rsid w:val="00AA6997"/>
  </w:style>
  <w:style w:type="paragraph" w:customStyle="1" w:styleId="446A40D717521D4384FC36C34CB2121B">
    <w:name w:val="446A40D717521D4384FC36C34CB2121B"/>
    <w:rsid w:val="00AA6997"/>
  </w:style>
  <w:style w:type="paragraph" w:customStyle="1" w:styleId="2C19D7C5A15BFB468C6A40AEF1709B8C">
    <w:name w:val="2C19D7C5A15BFB468C6A40AEF1709B8C"/>
    <w:rsid w:val="00AA6997"/>
  </w:style>
  <w:style w:type="paragraph" w:customStyle="1" w:styleId="C4472EB10E725645833B3C77F6B591D5">
    <w:name w:val="C4472EB10E725645833B3C77F6B591D5"/>
    <w:rsid w:val="00AA6997"/>
  </w:style>
  <w:style w:type="paragraph" w:customStyle="1" w:styleId="BEB1486CA21CBA4B81BDF100843D2836">
    <w:name w:val="BEB1486CA21CBA4B81BDF100843D2836"/>
    <w:rsid w:val="00AA6997"/>
  </w:style>
  <w:style w:type="paragraph" w:customStyle="1" w:styleId="AD690711D73BE04DA0AB12DCEC641DF5">
    <w:name w:val="AD690711D73BE04DA0AB12DCEC641DF5"/>
    <w:rsid w:val="00AA6997"/>
  </w:style>
  <w:style w:type="paragraph" w:customStyle="1" w:styleId="7E4CF200A3BE8143BE1098ED8DBFD4CA">
    <w:name w:val="7E4CF200A3BE8143BE1098ED8DBFD4CA"/>
    <w:rsid w:val="00AA6997"/>
  </w:style>
  <w:style w:type="paragraph" w:customStyle="1" w:styleId="33D49F63B385224EA22FB21C178C506D">
    <w:name w:val="33D49F63B385224EA22FB21C178C506D"/>
    <w:rsid w:val="00AA6997"/>
  </w:style>
  <w:style w:type="paragraph" w:customStyle="1" w:styleId="5BDB331BAF3A7A428A5B3786DD7AD01E">
    <w:name w:val="5BDB331BAF3A7A428A5B3786DD7AD01E"/>
    <w:rsid w:val="00AA6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43D4F-64F6-4759-84FE-B37ADBBC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Iulia Sirbu</cp:lastModifiedBy>
  <cp:revision>5</cp:revision>
  <cp:lastPrinted>2020-09-18T11:42:00Z</cp:lastPrinted>
  <dcterms:created xsi:type="dcterms:W3CDTF">2020-09-18T11:39:00Z</dcterms:created>
  <dcterms:modified xsi:type="dcterms:W3CDTF">2020-09-18T13:06:00Z</dcterms:modified>
</cp:coreProperties>
</file>